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26-362</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 116</w:t>
      </w:r>
    </w:p>
    <w:p>
      <w:pPr>
        <w:spacing w:before="0" w:after="0" w:line="480"/>
        <w:ind w:left="120"/>
        <w:jc w:val="center"/>
      </w:pPr>
      <w:r>
        <w:rPr>
          <w:rFonts w:ascii="Times New Roman" w:hAnsi="Times New Roman"/>
          <w:b w:val="false"/>
          <w:i w:val="false"/>
          <w:color w:val="000000"/>
          <w:sz w:val="24"/>
        </w:rPr>
        <w:t>“Reassessment Expense Fund”</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421.14</w:t>
      </w:r>
    </w:p>
    <w:p>
      <w:pPr>
        <w:spacing w:before="0" w:after="0" w:line="480"/>
        <w:ind w:left="120"/>
        <w:jc w:val="both"/>
      </w:pPr>
      <w:r>
        <w:rPr>
          <w:rFonts w:ascii="Times New Roman" w:hAnsi="Times New Roman"/>
          <w:b w:val="false"/>
          <w:i w:val="false"/>
          <w:color w:val="000000"/>
          <w:sz w:val="24"/>
        </w:rPr>
        <w:t>State or federal law(s) implemented by the rulemaking: Iowa Code section 421.30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2 to 3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meet.google.com/egs-ucjg-frv</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Nick Behlke</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515.336.9025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nick.behlke@iowa.gov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and readopt Chapter 116, which explains how to apply for and receive a loan from the Reassessment Expense Fund. The Department proposes revisions to remove portions of the rules that the Department determined are obsolete, unnecessary, or duplicative of statutory language as required by Executive Order 10. Further, the Department proposes updates to the chapter to add clarity and better organization to aid the public’s understanding of the Reassessment Expense Fund.</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proposed rulemaking does not create costs for any classes of persons.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Members of local conference boards will benefit from a greater understanding of how to apply for a loan from the Reassessment Expense Fund.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economic impact associated with this rulemaking beyond what is contained in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benefit of this rulemaking beyond what is already provided in statute is the value of having a clear understanding of the Reassessment Expense Fund.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beyond what is already required to administer the relevant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A greater understanding of the Reassessment Expense Fund will ensure that only the proper number of loans from the fund will be awarded.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benefits of having a chapter on the Reassessment Expense Fund is to ensure correct and consistent application when it comes to granting loans from the fund. There are no costs associated with this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rulemaking is not costly or intrusive.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any alternative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Failing to have this chapter would lead to confusion regarding the application of the Reassessment Expense Fund. This chapter only contains two rules and they were updated to remove outdated language.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116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116</w:t>
      </w:r>
    </w:p>
    <w:p>
      <w:pPr>
        <w:spacing w:before="0" w:after="0" w:line="480"/>
        <w:ind w:left="120"/>
        <w:jc w:val="center"/>
      </w:pPr>
      <w:r>
        <w:rPr>
          <w:rFonts w:ascii="Times New Roman" w:hAnsi="Times New Roman"/>
          <w:b w:val="false"/>
          <w:i w:val="false"/>
          <w:color w:val="000000"/>
          <w:sz w:val="21"/>
        </w:rPr>
        <w:t>REASSESSMENT EXPENSE FUND</w:t>
      </w:r>
    </w:p>
    <w:p>
      <w:pPr>
        <w:spacing w:before="0" w:after="0" w:line="480"/>
        <w:ind w:left="120"/>
        <w:jc w:val="both"/>
      </w:pPr>
      <w:r>
        <w:rPr>
          <w:rFonts w:ascii="Times New Roman" w:hAnsi="Times New Roman"/>
          <w:b/>
          <w:i w:val="false"/>
          <w:color w:val="000000"/>
          <w:sz w:val="24"/>
        </w:rPr>
        <w:t>701—116.1</w:t>
      </w:r>
      <w:r>
        <w:rPr>
          <w:rFonts w:ascii="Times New Roman" w:hAnsi="Times New Roman"/>
          <w:b/>
          <w:i w:val="false"/>
          <w:color w:val="000000"/>
          <w:sz w:val="24"/>
        </w:rPr>
        <w:t xml:space="preserve">(421) </w:t>
      </w:r>
      <w:r>
        <w:rPr>
          <w:rFonts w:ascii="Times New Roman" w:hAnsi="Times New Roman"/>
          <w:b/>
          <w:i w:val="false"/>
          <w:color w:val="000000"/>
          <w:sz w:val="24"/>
        </w:rPr>
        <w:t xml:space="preserve">Application for loan. </w:t>
      </w:r>
      <w:r>
        <w:rPr>
          <w:rFonts w:ascii="Times New Roman" w:hAnsi="Times New Roman"/>
          <w:b w:val="false"/>
          <w:i w:val="false"/>
          <w:color w:val="000000"/>
          <w:sz w:val="24"/>
        </w:rPr>
        <w:t xml:space="preserve">Applications for loans from the reassessment expense fund may be made by a conference board established under Iowa Code section </w:t>
      </w:r>
      <w:hyperlink r:id="rId6">
        <w:r>
          <w:rPr>
            <w:rStyle w:val="Hyperlink"/>
            <w:rFonts w:ascii="Times New Roman" w:hAnsi="Times New Roman"/>
            <w:b w:val="false"/>
            <w:i w:val="false"/>
            <w:color w:val="000000"/>
            <w:sz w:val="24"/>
          </w:rPr>
          <w:t>441.2</w:t>
        </w:r>
      </w:hyperlink>
      <w:r>
        <w:rPr>
          <w:rFonts w:ascii="Times New Roman" w:hAnsi="Times New Roman"/>
          <w:b w:val="false"/>
          <w:i w:val="false"/>
          <w:color w:val="000000"/>
          <w:sz w:val="24"/>
        </w:rPr>
        <w:t>. The application shall be submitted to the director. Applications shall contain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116.1(1)</w:t>
      </w:r>
      <w:r>
        <w:rPr>
          <w:rFonts w:ascii="Times New Roman" w:hAnsi="Times New Roman"/>
          <w:b w:val="false"/>
          <w:i w:val="false"/>
          <w:color w:val="000000"/>
          <w:sz w:val="24"/>
        </w:rPr>
        <w:t> </w:t>
      </w:r>
      <w:r>
        <w:rPr>
          <w:rFonts w:ascii="Times New Roman" w:hAnsi="Times New Roman"/>
          <w:b w:val="false"/>
          <w:i w:val="false"/>
          <w:color w:val="000000"/>
          <w:sz w:val="24"/>
        </w:rPr>
        <w:t>A statement of any unencumbered balance in the assessment expense fund, the amount of funds available to the assessor in any other fund, and the maximum amount of revenue that could be raised for the assessor’s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116.1(2)</w:t>
      </w:r>
      <w:r>
        <w:rPr>
          <w:rFonts w:ascii="Times New Roman" w:hAnsi="Times New Roman"/>
          <w:b w:val="false"/>
          <w:i w:val="false"/>
          <w:color w:val="000000"/>
          <w:sz w:val="24"/>
        </w:rPr>
        <w:t> </w:t>
      </w:r>
      <w:r>
        <w:rPr>
          <w:rFonts w:ascii="Times New Roman" w:hAnsi="Times New Roman"/>
          <w:b w:val="false"/>
          <w:i w:val="false"/>
          <w:color w:val="000000"/>
          <w:sz w:val="24"/>
        </w:rPr>
        <w:t>A detailed statement as to how moneys obtained from the reassessment expense fund will be expended, such statement to be itemized to indicate specific expenditures for personnel, supplies and materials, mileage, public information, and payment for any work performed under contract with a professional appraisal firm.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116.1(3)</w:t>
      </w:r>
      <w:r>
        <w:rPr>
          <w:rFonts w:ascii="Times New Roman" w:hAnsi="Times New Roman"/>
          <w:b w:val="false"/>
          <w:i w:val="false"/>
          <w:color w:val="000000"/>
          <w:sz w:val="24"/>
        </w:rPr>
        <w:t> </w:t>
      </w:r>
      <w:r>
        <w:rPr>
          <w:rFonts w:ascii="Times New Roman" w:hAnsi="Times New Roman"/>
          <w:b w:val="false"/>
          <w:i w:val="false"/>
          <w:color w:val="000000"/>
          <w:sz w:val="24"/>
        </w:rPr>
        <w:t>A copy of the assessing jurisdiction’s most recent budget as approved by the department of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116.1(4)</w:t>
      </w:r>
      <w:r>
        <w:rPr>
          <w:rFonts w:ascii="Times New Roman" w:hAnsi="Times New Roman"/>
          <w:b w:val="false"/>
          <w:i w:val="false"/>
          <w:color w:val="000000"/>
          <w:sz w:val="24"/>
        </w:rPr>
        <w:t> </w:t>
      </w:r>
      <w:r>
        <w:rPr>
          <w:rFonts w:ascii="Times New Roman" w:hAnsi="Times New Roman"/>
          <w:b w:val="false"/>
          <w:i w:val="false"/>
          <w:color w:val="000000"/>
          <w:sz w:val="24"/>
        </w:rPr>
        <w:t>A copy of any proposed contract with a professional appraisal company.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7">
        <w:r>
          <w:rPr>
            <w:rStyle w:val="Hyperlink"/>
            <w:rFonts w:ascii="Times New Roman" w:hAnsi="Times New Roman"/>
            <w:b w:val="false"/>
            <w:i w:val="false"/>
            <w:color w:val="000000"/>
            <w:sz w:val="24"/>
          </w:rPr>
          <w:t>421.30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701—116.2</w:t>
      </w:r>
      <w:r>
        <w:rPr>
          <w:rFonts w:ascii="Times New Roman" w:hAnsi="Times New Roman"/>
          <w:b/>
          <w:i w:val="false"/>
          <w:color w:val="000000"/>
          <w:sz w:val="24"/>
        </w:rPr>
        <w:t xml:space="preserve">(421) </w:t>
      </w:r>
      <w:r>
        <w:rPr>
          <w:rFonts w:ascii="Times New Roman" w:hAnsi="Times New Roman"/>
          <w:b/>
          <w:i w:val="false"/>
          <w:color w:val="000000"/>
          <w:sz w:val="24"/>
        </w:rPr>
        <w:t xml:space="preserve">Criteria for granting loan. </w:t>
      </w:r>
      <w:r>
        <w:rPr>
          <w:rFonts w:ascii="Times New Roman" w:hAnsi="Times New Roman"/>
          <w:b w:val="false"/>
          <w:i w:val="false"/>
          <w:color w:val="000000"/>
          <w:sz w:val="24"/>
        </w:rPr>
        <w:t>In determining whether to grant a loan from the reassessment expense fund and the amount of any loan, the director will consider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116.2(1)</w:t>
      </w:r>
      <w:r>
        <w:rPr>
          <w:rFonts w:ascii="Times New Roman" w:hAnsi="Times New Roman"/>
          <w:b w:val="false"/>
          <w:i w:val="false"/>
          <w:color w:val="000000"/>
          <w:sz w:val="24"/>
        </w:rPr>
        <w:t> </w:t>
      </w:r>
      <w:r>
        <w:rPr>
          <w:rFonts w:ascii="Times New Roman" w:hAnsi="Times New Roman"/>
          <w:b w:val="false"/>
          <w:i w:val="false"/>
          <w:color w:val="000000"/>
          <w:sz w:val="24"/>
        </w:rPr>
        <w:t>The amount of moneys presently on hand and not encumbered or intended for another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116.2(2)</w:t>
      </w:r>
      <w:r>
        <w:rPr>
          <w:rFonts w:ascii="Times New Roman" w:hAnsi="Times New Roman"/>
          <w:b w:val="false"/>
          <w:i w:val="false"/>
          <w:color w:val="000000"/>
          <w:sz w:val="24"/>
        </w:rPr>
        <w:t> </w:t>
      </w:r>
      <w:r>
        <w:rPr>
          <w:rFonts w:ascii="Times New Roman" w:hAnsi="Times New Roman"/>
          <w:b w:val="false"/>
          <w:i w:val="false"/>
          <w:color w:val="000000"/>
          <w:sz w:val="24"/>
        </w:rPr>
        <w:t>The reasonableness and accuracy of the jurisdiction’s statement as to how the funds are to be expended, giving special attention as to whether such funds will be expended in such a manner as to ensure compliance with the reassessment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116.2(3)</w:t>
      </w:r>
      <w:r>
        <w:rPr>
          <w:rFonts w:ascii="Times New Roman" w:hAnsi="Times New Roman"/>
          <w:b w:val="false"/>
          <w:i w:val="false"/>
          <w:color w:val="000000"/>
          <w:sz w:val="24"/>
        </w:rPr>
        <w:t> </w:t>
      </w:r>
      <w:r>
        <w:rPr>
          <w:rFonts w:ascii="Times New Roman" w:hAnsi="Times New Roman"/>
          <w:b w:val="false"/>
          <w:i w:val="false"/>
          <w:color w:val="000000"/>
          <w:sz w:val="24"/>
        </w:rPr>
        <w:t xml:space="preserve">The capability of the jurisdiction to repay the loan within the time period specified in Iowa Code section </w:t>
      </w:r>
      <w:hyperlink r:id="rId8">
        <w:r>
          <w:rPr>
            <w:rStyle w:val="Hyperlink"/>
            <w:rFonts w:ascii="Times New Roman" w:hAnsi="Times New Roman"/>
            <w:b w:val="false"/>
            <w:i w:val="false"/>
            <w:color w:val="000000"/>
            <w:sz w:val="24"/>
          </w:rPr>
          <w:t>421.30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9">
        <w:r>
          <w:rPr>
            <w:rStyle w:val="Hyperlink"/>
            <w:rFonts w:ascii="Times New Roman" w:hAnsi="Times New Roman"/>
            <w:b w:val="false"/>
            <w:i w:val="false"/>
            <w:color w:val="000000"/>
            <w:sz w:val="24"/>
          </w:rPr>
          <w:t>421.30</w:t>
        </w:r>
      </w:hyperlink>
      <w:r>
        <w:rPr>
          <w:rFonts w:ascii="Times New Roman" w:hAnsi="Times New Roman"/>
          <w:b w:val="false"/>
          <w:i w:val="false"/>
          <w:color w:val="000000"/>
          <w:sz w:val="24"/>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egs-ucjg-frv" Type="http://schemas.openxmlformats.org/officeDocument/2006/relationships/hyperlink" Id="rId4"/>
    <Relationship TargetMode="External" Target="mailto:nick.behlke@iowa.gov" Type="http://schemas.openxmlformats.org/officeDocument/2006/relationships/hyperlink" Id="rId5"/>
    <Relationship TargetMode="External" Target="https://www.legis.iowa.gov/docs/ico/chapter/441.2.pdf" Type="http://schemas.openxmlformats.org/officeDocument/2006/relationships/hyperlink" Id="rId6"/>
    <Relationship TargetMode="External" Target="https://www.legis.iowa.gov/docs/ico/chapter/421.30.pdf" Type="http://schemas.openxmlformats.org/officeDocument/2006/relationships/hyperlink" Id="rId7"/>
    <Relationship TargetMode="External" Target="https://www.legis.iowa.gov/docs/ico/chapter/421.30.pdf" Type="http://schemas.openxmlformats.org/officeDocument/2006/relationships/hyperlink" Id="rId8"/>
    <Relationship TargetMode="External" Target="https://www.legis.iowa.gov/docs/ico/chapter/421.30.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